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95" w:rsidRPr="00262095" w:rsidRDefault="00262095" w:rsidP="00262095">
      <w:pPr>
        <w:pStyle w:val="1"/>
        <w:spacing w:before="0" w:after="0"/>
        <w:jc w:val="center"/>
        <w:rPr>
          <w:rFonts w:ascii="Times New Roman" w:hAnsi="Times New Roman"/>
          <w:sz w:val="27"/>
          <w:szCs w:val="27"/>
        </w:rPr>
      </w:pPr>
      <w:r w:rsidRPr="00262095">
        <w:rPr>
          <w:rFonts w:ascii="Times New Roman" w:hAnsi="Times New Roman"/>
          <w:sz w:val="27"/>
          <w:szCs w:val="27"/>
        </w:rPr>
        <w:t>СОВЕТ ДЕПУТАТОВ</w:t>
      </w:r>
    </w:p>
    <w:p w:rsidR="00262095" w:rsidRPr="00262095" w:rsidRDefault="00262095" w:rsidP="00262095">
      <w:pPr>
        <w:pStyle w:val="1"/>
        <w:spacing w:before="0" w:after="0"/>
        <w:jc w:val="center"/>
        <w:rPr>
          <w:rFonts w:ascii="Times New Roman" w:hAnsi="Times New Roman"/>
          <w:sz w:val="27"/>
          <w:szCs w:val="27"/>
        </w:rPr>
      </w:pPr>
      <w:r w:rsidRPr="00262095">
        <w:rPr>
          <w:rFonts w:ascii="Times New Roman" w:hAnsi="Times New Roman"/>
          <w:sz w:val="27"/>
          <w:szCs w:val="27"/>
        </w:rPr>
        <w:t>МО ВЕРЕВСКОЕ СЕЛЬСКОЕ ПОСЕЛЕНИЕ</w:t>
      </w:r>
    </w:p>
    <w:p w:rsidR="00262095" w:rsidRPr="00262095" w:rsidRDefault="00262095" w:rsidP="00262095">
      <w:pPr>
        <w:jc w:val="center"/>
        <w:rPr>
          <w:rFonts w:ascii="Times New Roman" w:hAnsi="Times New Roman"/>
          <w:b/>
          <w:sz w:val="27"/>
          <w:szCs w:val="27"/>
        </w:rPr>
      </w:pPr>
      <w:r w:rsidRPr="00262095">
        <w:rPr>
          <w:rFonts w:ascii="Times New Roman" w:hAnsi="Times New Roman"/>
          <w:b/>
          <w:sz w:val="27"/>
          <w:szCs w:val="27"/>
        </w:rPr>
        <w:t>ГАТЧИНСКОГО МУНИЦИПАЛЬНОГО РАЙОНА</w:t>
      </w:r>
    </w:p>
    <w:p w:rsidR="00262095" w:rsidRPr="00262095" w:rsidRDefault="00262095" w:rsidP="00262095">
      <w:pPr>
        <w:jc w:val="center"/>
        <w:rPr>
          <w:rFonts w:ascii="Times New Roman" w:hAnsi="Times New Roman"/>
          <w:b/>
          <w:sz w:val="27"/>
          <w:szCs w:val="27"/>
        </w:rPr>
      </w:pPr>
      <w:r w:rsidRPr="00262095">
        <w:rPr>
          <w:rFonts w:ascii="Times New Roman" w:hAnsi="Times New Roman"/>
          <w:b/>
          <w:sz w:val="27"/>
          <w:szCs w:val="27"/>
        </w:rPr>
        <w:t>ЛЕНИНГРАДСКОЙ ОБЛАСТИ</w:t>
      </w:r>
    </w:p>
    <w:p w:rsidR="00262095" w:rsidRPr="00262095" w:rsidRDefault="00262095" w:rsidP="00262095">
      <w:pPr>
        <w:pStyle w:val="1"/>
        <w:spacing w:before="0" w:after="0"/>
        <w:jc w:val="center"/>
        <w:rPr>
          <w:rFonts w:ascii="Times New Roman" w:hAnsi="Times New Roman"/>
          <w:sz w:val="27"/>
          <w:szCs w:val="27"/>
        </w:rPr>
      </w:pPr>
      <w:r w:rsidRPr="00262095">
        <w:rPr>
          <w:rFonts w:ascii="Times New Roman" w:hAnsi="Times New Roman"/>
          <w:sz w:val="27"/>
          <w:szCs w:val="27"/>
        </w:rPr>
        <w:t>ЧЕТВЕРТЫЙ СОЗЫВ</w:t>
      </w:r>
    </w:p>
    <w:p w:rsidR="00262095" w:rsidRPr="00262095" w:rsidRDefault="00262095" w:rsidP="00262095">
      <w:pPr>
        <w:pStyle w:val="1"/>
        <w:spacing w:before="0" w:after="0"/>
        <w:jc w:val="center"/>
        <w:rPr>
          <w:rFonts w:ascii="Times New Roman" w:hAnsi="Times New Roman"/>
          <w:sz w:val="27"/>
          <w:szCs w:val="27"/>
        </w:rPr>
      </w:pPr>
      <w:r w:rsidRPr="00262095">
        <w:rPr>
          <w:rFonts w:ascii="Times New Roman" w:hAnsi="Times New Roman"/>
          <w:sz w:val="27"/>
          <w:szCs w:val="27"/>
        </w:rPr>
        <w:t>Р Е Ш Е Н И Е</w:t>
      </w:r>
    </w:p>
    <w:p w:rsidR="00262095" w:rsidRPr="00262095" w:rsidRDefault="00262095" w:rsidP="00262095">
      <w:pPr>
        <w:jc w:val="center"/>
        <w:rPr>
          <w:rFonts w:ascii="Times New Roman" w:hAnsi="Times New Roman"/>
          <w:sz w:val="27"/>
          <w:szCs w:val="27"/>
        </w:rPr>
      </w:pPr>
    </w:p>
    <w:p w:rsidR="00262095" w:rsidRPr="00262095" w:rsidRDefault="00E7330A" w:rsidP="00262095">
      <w:pPr>
        <w:rPr>
          <w:rFonts w:ascii="Times New Roman" w:hAnsi="Times New Roman"/>
          <w:sz w:val="27"/>
          <w:szCs w:val="27"/>
        </w:rPr>
      </w:pPr>
      <w:r>
        <w:rPr>
          <w:rFonts w:ascii="Times New Roman" w:hAnsi="Times New Roman"/>
          <w:b/>
          <w:sz w:val="27"/>
          <w:szCs w:val="27"/>
        </w:rPr>
        <w:t xml:space="preserve">23 </w:t>
      </w:r>
      <w:r w:rsidR="00262095" w:rsidRPr="00262095">
        <w:rPr>
          <w:rFonts w:ascii="Times New Roman" w:hAnsi="Times New Roman"/>
          <w:b/>
          <w:sz w:val="27"/>
          <w:szCs w:val="27"/>
        </w:rPr>
        <w:t xml:space="preserve">сентября 2021 года                                  </w:t>
      </w:r>
      <w:r>
        <w:rPr>
          <w:rFonts w:ascii="Times New Roman" w:hAnsi="Times New Roman"/>
          <w:b/>
          <w:sz w:val="27"/>
          <w:szCs w:val="27"/>
        </w:rPr>
        <w:t xml:space="preserve">            </w:t>
      </w:r>
      <w:r w:rsidR="00262095" w:rsidRPr="00262095">
        <w:rPr>
          <w:rFonts w:ascii="Times New Roman" w:hAnsi="Times New Roman"/>
          <w:b/>
          <w:sz w:val="27"/>
          <w:szCs w:val="27"/>
        </w:rPr>
        <w:t xml:space="preserve">                                                    №</w:t>
      </w:r>
      <w:r>
        <w:rPr>
          <w:rFonts w:ascii="Times New Roman" w:hAnsi="Times New Roman"/>
          <w:b/>
          <w:sz w:val="27"/>
          <w:szCs w:val="27"/>
        </w:rPr>
        <w:t>83</w:t>
      </w:r>
    </w:p>
    <w:p w:rsidR="00262095" w:rsidRPr="002D4944" w:rsidRDefault="00262095" w:rsidP="00262095">
      <w:pPr>
        <w:jc w:val="center"/>
      </w:pPr>
    </w:p>
    <w:p w:rsidR="00740A3D" w:rsidRPr="00740A3D" w:rsidRDefault="00740A3D" w:rsidP="00740A3D">
      <w:pPr>
        <w:widowControl/>
        <w:ind w:right="5385"/>
        <w:rPr>
          <w:rFonts w:ascii="Times New Roman" w:eastAsia="Calibri" w:hAnsi="Times New Roman"/>
          <w:iCs/>
          <w:color w:val="auto"/>
          <w:sz w:val="28"/>
          <w:szCs w:val="28"/>
        </w:rPr>
      </w:pPr>
    </w:p>
    <w:p w:rsidR="00740A3D" w:rsidRPr="00740A3D"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8"/>
          <w:szCs w:val="28"/>
        </w:rPr>
      </w:pPr>
      <w:r w:rsidRPr="00740A3D">
        <w:rPr>
          <w:rFonts w:ascii="Times New Roman" w:eastAsia="Calibri" w:hAnsi="Times New Roman"/>
          <w:iCs/>
          <w:color w:val="auto"/>
          <w:sz w:val="28"/>
          <w:szCs w:val="28"/>
        </w:rPr>
        <w:t xml:space="preserve">Об утверждении </w:t>
      </w:r>
      <w:r>
        <w:rPr>
          <w:rFonts w:ascii="Times New Roman" w:eastAsia="Calibri" w:hAnsi="Times New Roman"/>
          <w:iCs/>
          <w:color w:val="auto"/>
          <w:sz w:val="28"/>
          <w:szCs w:val="28"/>
        </w:rPr>
        <w:t xml:space="preserve">  </w:t>
      </w:r>
      <w:r w:rsidRPr="00740A3D">
        <w:rPr>
          <w:rFonts w:ascii="Times New Roman" w:eastAsia="Calibri" w:hAnsi="Times New Roman"/>
          <w:iCs/>
          <w:color w:val="auto"/>
          <w:sz w:val="28"/>
          <w:szCs w:val="28"/>
        </w:rPr>
        <w:t xml:space="preserve">положения 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00262095">
        <w:rPr>
          <w:rFonts w:ascii="Times New Roman" w:eastAsia="Calibri" w:hAnsi="Times New Roman"/>
          <w:bCs/>
          <w:color w:val="auto"/>
          <w:kern w:val="28"/>
          <w:sz w:val="28"/>
          <w:szCs w:val="28"/>
        </w:rPr>
        <w:t>Веревское сельское поселение Гатчинского муниципального района Ленинградской области</w:t>
      </w:r>
      <w:r w:rsidRPr="00740A3D">
        <w:rPr>
          <w:rFonts w:ascii="Times New Roman" w:eastAsia="Calibri" w:hAnsi="Times New Roman"/>
          <w:bCs/>
          <w:color w:val="auto"/>
          <w:kern w:val="28"/>
          <w:sz w:val="28"/>
          <w:szCs w:val="28"/>
        </w:rPr>
        <w:t xml:space="preserve"> </w:t>
      </w:r>
    </w:p>
    <w:p w:rsidR="000E7BBF" w:rsidRPr="000E7BBF" w:rsidRDefault="000E7BBF" w:rsidP="000E7BBF">
      <w:pPr>
        <w:jc w:val="both"/>
        <w:outlineLvl w:val="0"/>
        <w:rPr>
          <w:rFonts w:ascii="Times New Roman" w:hAnsi="Times New Roman"/>
          <w:color w:val="auto"/>
        </w:rPr>
      </w:pP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r w:rsidR="00262095">
        <w:rPr>
          <w:rFonts w:ascii="Times New Roman" w:eastAsia="Calibri" w:hAnsi="Times New Roman"/>
          <w:color w:val="auto"/>
          <w:sz w:val="28"/>
          <w:szCs w:val="28"/>
        </w:rPr>
        <w:t>Веревское сельское поселение Гатчинского муниципального района Ленинградской области</w:t>
      </w:r>
      <w:r w:rsidRPr="00740A3D">
        <w:rPr>
          <w:rFonts w:ascii="Times New Roman" w:eastAsia="Calibri" w:hAnsi="Times New Roman"/>
          <w:color w:val="auto"/>
          <w:sz w:val="28"/>
          <w:szCs w:val="28"/>
        </w:rPr>
        <w:t xml:space="preserve">, совет депутатов муниципального образования </w:t>
      </w:r>
      <w:r w:rsidR="00262095">
        <w:rPr>
          <w:rFonts w:ascii="Times New Roman" w:eastAsia="Calibri" w:hAnsi="Times New Roman"/>
          <w:color w:val="auto"/>
          <w:sz w:val="28"/>
          <w:szCs w:val="28"/>
        </w:rPr>
        <w:t>Веревское сельское поселение Гатчинского муниципального района Ленинградской области</w:t>
      </w:r>
      <w:r w:rsidRPr="00740A3D">
        <w:rPr>
          <w:rFonts w:ascii="Times New Roman" w:eastAsia="Calibri" w:hAnsi="Times New Roman"/>
          <w:color w:val="auto"/>
          <w:sz w:val="28"/>
          <w:szCs w:val="28"/>
        </w:rPr>
        <w:t xml:space="preserve"> (далее - Совет депутатов)</w:t>
      </w: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r w:rsidR="00262095">
        <w:rPr>
          <w:rFonts w:ascii="Times New Roman" w:eastAsia="Calibri" w:hAnsi="Times New Roman"/>
          <w:color w:val="auto"/>
          <w:sz w:val="28"/>
          <w:szCs w:val="28"/>
        </w:rPr>
        <w:t>Веревское сельское поселение Гатчинского муниципального района Ленинградской области</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 xml:space="preserve">согласно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B746F8" w:rsidRPr="00740A3D" w:rsidRDefault="00B746F8" w:rsidP="00740A3D">
      <w:pPr>
        <w:widowControl/>
        <w:suppressAutoHyphens/>
        <w:autoSpaceDN w:val="0"/>
        <w:ind w:firstLine="720"/>
        <w:jc w:val="both"/>
        <w:rPr>
          <w:rFonts w:ascii="Times New Roman" w:eastAsia="SimSun" w:hAnsi="Times New Roman"/>
          <w:color w:val="auto"/>
          <w:kern w:val="3"/>
          <w:sz w:val="28"/>
          <w:szCs w:val="28"/>
          <w:lang w:eastAsia="zh-CN" w:bidi="hi-IN"/>
        </w:rPr>
      </w:pPr>
      <w:r>
        <w:rPr>
          <w:rFonts w:ascii="Times New Roman" w:eastAsia="SimSun" w:hAnsi="Times New Roman"/>
          <w:color w:val="auto"/>
          <w:kern w:val="3"/>
          <w:sz w:val="28"/>
          <w:szCs w:val="28"/>
          <w:lang w:eastAsia="zh-CN" w:bidi="hi-IN"/>
        </w:rPr>
        <w:t>2. Решение Совета депутатов МО Веревское сельское поселение «Об утверждении Положения о порядке организации и осуществления муниципального жилищного контроля на территории муниципального образования Веревское сельское поселение Гатчинского муниципального района Ленинградской области», от 31.10.2013 №37 (244) считать утратившим силу.</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2. Опубликовать данное постановление в</w:t>
      </w:r>
      <w:r w:rsidR="00262095">
        <w:rPr>
          <w:rFonts w:ascii="Times New Roman" w:eastAsiaTheme="minorHAnsi" w:hAnsi="Times New Roman"/>
          <w:color w:val="auto"/>
          <w:sz w:val="28"/>
          <w:szCs w:val="28"/>
        </w:rPr>
        <w:t xml:space="preserve"> периодическом печатном издании «Веревский Вестник».</w:t>
      </w:r>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740A3D" w:rsidRPr="00740A3D" w:rsidRDefault="00740A3D" w:rsidP="00740A3D">
      <w:pPr>
        <w:rPr>
          <w:rFonts w:ascii="Times New Roman" w:hAnsi="Times New Roman"/>
          <w:b/>
          <w:color w:val="auto"/>
          <w:sz w:val="28"/>
          <w:szCs w:val="28"/>
        </w:rPr>
      </w:pPr>
      <w:r w:rsidRPr="00740A3D">
        <w:rPr>
          <w:rFonts w:ascii="Times New Roman" w:hAnsi="Times New Roman"/>
          <w:color w:val="auto"/>
          <w:sz w:val="28"/>
          <w:szCs w:val="28"/>
        </w:rPr>
        <w:t xml:space="preserve">Глава муниципального образования                                 </w:t>
      </w:r>
      <w:r w:rsidR="00262095">
        <w:rPr>
          <w:rFonts w:ascii="Times New Roman" w:hAnsi="Times New Roman"/>
          <w:color w:val="auto"/>
          <w:sz w:val="28"/>
          <w:szCs w:val="28"/>
        </w:rPr>
        <w:t xml:space="preserve">                   </w:t>
      </w:r>
      <w:r w:rsidRPr="00740A3D">
        <w:rPr>
          <w:rFonts w:ascii="Times New Roman" w:hAnsi="Times New Roman"/>
          <w:color w:val="auto"/>
          <w:sz w:val="28"/>
          <w:szCs w:val="28"/>
        </w:rPr>
        <w:t xml:space="preserve">     </w:t>
      </w:r>
      <w:r w:rsidR="00262095">
        <w:rPr>
          <w:rFonts w:ascii="Times New Roman" w:hAnsi="Times New Roman"/>
          <w:color w:val="auto"/>
          <w:sz w:val="28"/>
          <w:szCs w:val="28"/>
        </w:rPr>
        <w:t>Д.В. Макеев</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740A3D" w:rsidRPr="00740A3D" w:rsidRDefault="00740A3D" w:rsidP="00740A3D">
      <w:pPr>
        <w:widowControl/>
        <w:autoSpaceDE w:val="0"/>
        <w:autoSpaceDN w:val="0"/>
        <w:adjustRightInd w:val="0"/>
        <w:ind w:left="4536"/>
        <w:jc w:val="right"/>
        <w:rPr>
          <w:rFonts w:ascii="Times New Roman" w:eastAsiaTheme="minorHAnsi" w:hAnsi="Times New Roman"/>
          <w:color w:val="000000" w:themeColor="text1"/>
          <w:sz w:val="28"/>
          <w:szCs w:val="28"/>
        </w:rPr>
      </w:pPr>
      <w:bookmarkStart w:id="0" w:name="Par35"/>
      <w:bookmarkEnd w:id="0"/>
      <w:r w:rsidRPr="00740A3D">
        <w:rPr>
          <w:rFonts w:ascii="Times New Roman" w:eastAsiaTheme="minorHAnsi" w:hAnsi="Times New Roman"/>
          <w:color w:val="000000" w:themeColor="text1"/>
          <w:sz w:val="28"/>
          <w:szCs w:val="28"/>
        </w:rPr>
        <w:lastRenderedPageBreak/>
        <w:t>Приложение</w:t>
      </w:r>
    </w:p>
    <w:p w:rsidR="00E7330A" w:rsidRDefault="00740A3D" w:rsidP="00E7330A">
      <w:pPr>
        <w:widowControl/>
        <w:autoSpaceDE w:val="0"/>
        <w:autoSpaceDN w:val="0"/>
        <w:adjustRightInd w:val="0"/>
        <w:ind w:left="4536"/>
        <w:jc w:val="right"/>
        <w:rPr>
          <w:rFonts w:ascii="Times New Roman" w:eastAsiaTheme="minorHAnsi" w:hAnsi="Times New Roman"/>
          <w:color w:val="000000" w:themeColor="text1"/>
          <w:sz w:val="28"/>
          <w:szCs w:val="28"/>
        </w:rPr>
      </w:pPr>
      <w:r w:rsidRPr="00740A3D">
        <w:rPr>
          <w:rFonts w:ascii="Times New Roman" w:eastAsiaTheme="minorHAnsi" w:hAnsi="Times New Roman"/>
          <w:color w:val="000000" w:themeColor="text1"/>
          <w:sz w:val="28"/>
          <w:szCs w:val="28"/>
        </w:rPr>
        <w:t xml:space="preserve">к решению совета депутатов </w:t>
      </w:r>
    </w:p>
    <w:p w:rsidR="000E7BBF" w:rsidRPr="000E7BBF" w:rsidRDefault="00740A3D" w:rsidP="00E7330A">
      <w:pPr>
        <w:widowControl/>
        <w:autoSpaceDE w:val="0"/>
        <w:autoSpaceDN w:val="0"/>
        <w:adjustRightInd w:val="0"/>
        <w:ind w:left="4536"/>
        <w:jc w:val="right"/>
        <w:rPr>
          <w:b/>
          <w:sz w:val="28"/>
        </w:rPr>
      </w:pPr>
      <w:bookmarkStart w:id="1" w:name="_GoBack"/>
      <w:bookmarkEnd w:id="1"/>
      <w:r w:rsidRPr="00740A3D">
        <w:rPr>
          <w:rFonts w:ascii="Times New Roman" w:eastAsiaTheme="minorHAnsi" w:hAnsi="Times New Roman"/>
          <w:color w:val="000000" w:themeColor="text1"/>
          <w:sz w:val="28"/>
          <w:szCs w:val="28"/>
        </w:rPr>
        <w:t xml:space="preserve">от </w:t>
      </w:r>
      <w:r w:rsidR="00E7330A">
        <w:rPr>
          <w:rFonts w:ascii="Times New Roman" w:eastAsiaTheme="minorHAnsi" w:hAnsi="Times New Roman"/>
          <w:color w:val="000000" w:themeColor="text1"/>
          <w:sz w:val="28"/>
          <w:szCs w:val="28"/>
        </w:rPr>
        <w:t>23.09.2021 № 83</w:t>
      </w: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r w:rsidR="00262095" w:rsidRPr="00262095">
        <w:rPr>
          <w:rFonts w:ascii="Times New Roman" w:eastAsia="Calibri" w:hAnsi="Times New Roman"/>
          <w:b/>
          <w:color w:val="auto"/>
          <w:sz w:val="28"/>
          <w:szCs w:val="28"/>
        </w:rPr>
        <w:t>Веревское сельское поселение Гатчинского муниципального района Ленинградской области</w:t>
      </w:r>
      <w:r w:rsidRPr="00740A3D">
        <w:rPr>
          <w:rFonts w:ascii="Times New Roman" w:eastAsiaTheme="minorHAnsi" w:hAnsi="Times New Roman"/>
          <w:b/>
          <w:color w:val="000000" w:themeColor="text1"/>
          <w:sz w:val="28"/>
          <w:szCs w:val="28"/>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r w:rsidR="00262095">
        <w:rPr>
          <w:rFonts w:ascii="Times New Roman" w:hAnsi="Times New Roman"/>
          <w:sz w:val="28"/>
          <w:lang w:val="ru-RU"/>
        </w:rPr>
        <w:t xml:space="preserve">муниципального образования </w:t>
      </w:r>
      <w:r w:rsidR="00262095">
        <w:rPr>
          <w:rFonts w:ascii="Times New Roman" w:eastAsia="Calibri" w:hAnsi="Times New Roman"/>
          <w:sz w:val="28"/>
          <w:szCs w:val="28"/>
        </w:rPr>
        <w:t>Веревское сельское поселение Гатчинского муниципального района Ленинградской области</w:t>
      </w:r>
      <w:r w:rsidRPr="000E7BBF">
        <w:rPr>
          <w:rFonts w:ascii="Times New Roman" w:hAnsi="Times New Roman"/>
          <w:i/>
          <w:spacing w:val="-2"/>
          <w:sz w:val="24"/>
        </w:rPr>
        <w:t xml:space="preserve">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8"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9"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262095">
        <w:rPr>
          <w:rFonts w:ascii="Times New Roman" w:hAnsi="Times New Roman"/>
          <w:sz w:val="28"/>
        </w:rPr>
        <w:t xml:space="preserve">муниципального образования </w:t>
      </w:r>
      <w:r w:rsidR="00262095">
        <w:rPr>
          <w:rFonts w:ascii="Times New Roman" w:eastAsia="Calibri" w:hAnsi="Times New Roman"/>
          <w:color w:val="auto"/>
          <w:sz w:val="28"/>
          <w:szCs w:val="28"/>
        </w:rPr>
        <w:t>Веревское сельское поселение Гатчинского муниципального района Ленинградской области</w:t>
      </w:r>
      <w:r w:rsidR="00262095" w:rsidRPr="000E7BBF">
        <w:rPr>
          <w:rFonts w:ascii="Times New Roman" w:hAnsi="Times New Roman"/>
          <w:i/>
          <w:spacing w:val="-2"/>
          <w:sz w:val="24"/>
        </w:rPr>
        <w:t xml:space="preserve"> </w:t>
      </w:r>
      <w:r w:rsidRPr="000E7BBF">
        <w:rPr>
          <w:rFonts w:ascii="Times New Roman" w:hAnsi="Times New Roman"/>
          <w:sz w:val="28"/>
          <w:szCs w:val="28"/>
        </w:rPr>
        <w:t xml:space="preserve">(далее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администрации</w:t>
      </w:r>
      <w:r w:rsidR="00262095" w:rsidRPr="00262095">
        <w:rPr>
          <w:rFonts w:ascii="Times New Roman" w:hAnsi="Times New Roman"/>
          <w:sz w:val="28"/>
          <w:lang w:val="ru-RU"/>
        </w:rPr>
        <w:t xml:space="preserve"> </w:t>
      </w:r>
      <w:r w:rsidR="00262095">
        <w:rPr>
          <w:rFonts w:ascii="Times New Roman" w:hAnsi="Times New Roman"/>
          <w:sz w:val="28"/>
          <w:lang w:val="ru-RU"/>
        </w:rPr>
        <w:t xml:space="preserve">муниципального образования </w:t>
      </w:r>
      <w:r w:rsidR="00262095">
        <w:rPr>
          <w:rFonts w:ascii="Times New Roman" w:eastAsia="Calibri" w:hAnsi="Times New Roman"/>
          <w:sz w:val="28"/>
          <w:szCs w:val="28"/>
        </w:rPr>
        <w:t>Веревское сельское поселение Гатчинского муниципального района Ленинградской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lastRenderedPageBreak/>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w:t>
      </w:r>
      <w:r w:rsidRPr="000E7BBF">
        <w:rPr>
          <w:rFonts w:ascii="Times New Roman" w:hAnsi="Times New Roman"/>
          <w:sz w:val="28"/>
        </w:rPr>
        <w:lastRenderedPageBreak/>
        <w:t>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w:t>
      </w:r>
      <w:r w:rsidRPr="000E7BBF">
        <w:rPr>
          <w:rFonts w:ascii="Times New Roman" w:hAnsi="Times New Roman"/>
          <w:sz w:val="28"/>
        </w:rPr>
        <w:lastRenderedPageBreak/>
        <w:t>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lastRenderedPageBreak/>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lastRenderedPageBreak/>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 xml:space="preserve">.8. Контрольный орган информирует контролируемое лицо о результатах рассмотрения возражения не позднее пяти рабочих дней со дня рассмотрения </w:t>
      </w:r>
      <w:r w:rsidRPr="000E7BBF">
        <w:rPr>
          <w:sz w:val="28"/>
        </w:rPr>
        <w:lastRenderedPageBreak/>
        <w:t>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2) ______________________________________________.</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lastRenderedPageBreak/>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248-ФЗ</w:t>
      </w:r>
      <w:r w:rsidR="001F4BF4">
        <w:rPr>
          <w:rFonts w:ascii="Times New Roman" w:hAnsi="Times New Roman"/>
          <w:sz w:val="28"/>
        </w:rPr>
        <w:t xml:space="preserve"> </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w:t>
      </w:r>
      <w:r w:rsidR="00B33824" w:rsidRPr="003E666D">
        <w:rPr>
          <w:rFonts w:ascii="Times New Roman" w:hAnsi="Times New Roman"/>
          <w:sz w:val="28"/>
        </w:rPr>
        <w:lastRenderedPageBreak/>
        <w:t>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0E7BBF">
        <w:rPr>
          <w:rFonts w:ascii="Times New Roman" w:hAnsi="Times New Roman"/>
          <w:sz w:val="28"/>
        </w:rPr>
        <w:lastRenderedPageBreak/>
        <w:t xml:space="preserve">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lastRenderedPageBreak/>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___________________________.</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 ___________________________.</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w:t>
      </w:r>
      <w:r w:rsidRPr="000E7BBF">
        <w:rPr>
          <w:rFonts w:ascii="Times New Roman" w:hAnsi="Times New Roman"/>
          <w:sz w:val="28"/>
        </w:rPr>
        <w:lastRenderedPageBreak/>
        <w:t>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262095"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0E7BBF">
        <w:rPr>
          <w:rFonts w:ascii="Times New Roman" w:hAnsi="Times New Roman"/>
          <w:sz w:val="28"/>
        </w:rPr>
        <w:lastRenderedPageBreak/>
        <w:t>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0E7BBF">
        <w:rPr>
          <w:rFonts w:ascii="Times New Roman" w:hAnsi="Times New Roman"/>
          <w:sz w:val="28"/>
        </w:rPr>
        <w:lastRenderedPageBreak/>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xml:space="preserve">, которые в соответствии с обязательными требованиями должны находиться в месте нахождения (осуществления </w:t>
      </w:r>
      <w:r w:rsidRPr="000E7BBF">
        <w:rPr>
          <w:sz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5C2D4E">
        <w:rPr>
          <w:rFonts w:ascii="Times New Roman" w:hAnsi="Times New Roman"/>
          <w:sz w:val="28"/>
        </w:rPr>
        <w:lastRenderedPageBreak/>
        <w:t>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w:t>
      </w:r>
      <w:r w:rsidRPr="000E7BBF">
        <w:rPr>
          <w:sz w:val="28"/>
        </w:rPr>
        <w:lastRenderedPageBreak/>
        <w:t>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9" w:name="Par383"/>
      <w:bookmarkEnd w:id="9"/>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0" w:name="Par390"/>
      <w:bookmarkEnd w:id="10"/>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1" w:name="_Hlk73956884"/>
      <w:r w:rsidRPr="000E7BBF">
        <w:rPr>
          <w:rFonts w:ascii="Times New Roman" w:hAnsi="Times New Roman"/>
          <w:sz w:val="28"/>
        </w:rPr>
        <w:t>и их целевые значения, индикативные показатели</w:t>
      </w:r>
      <w:bookmarkEnd w:id="11"/>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0E7BBF" w:rsidRPr="000E7BBF" w:rsidRDefault="00101DA9" w:rsidP="00101DA9">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000E7BBF" w:rsidRPr="000E7BBF">
        <w:rPr>
          <w:sz w:val="28"/>
          <w:szCs w:val="28"/>
        </w:rPr>
        <w:t xml:space="preserve">к Положению </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0E7BBF" w:rsidRDefault="000E7BBF" w:rsidP="00101DA9">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sidR="00101DA9">
        <w:rPr>
          <w:sz w:val="28"/>
          <w:szCs w:val="28"/>
        </w:rPr>
        <w:t xml:space="preserve">2 </w:t>
      </w:r>
      <w:r w:rsidRPr="000E7BBF">
        <w:rPr>
          <w:sz w:val="28"/>
          <w:szCs w:val="28"/>
        </w:rPr>
        <w:t xml:space="preserve">к Положению </w:t>
      </w:r>
    </w:p>
    <w:p w:rsidR="000E7BBF" w:rsidRPr="000E7BBF" w:rsidRDefault="000E7BBF" w:rsidP="000E7BBF">
      <w:pPr>
        <w:pStyle w:val="ConsPlusNormal"/>
        <w:spacing w:line="240" w:lineRule="exact"/>
        <w:jc w:val="center"/>
        <w:rPr>
          <w:shd w:val="clear" w:color="auto" w:fill="F1C100"/>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Двукратный и более рост количества обращений за единицу времени </w:t>
      </w:r>
      <w:r w:rsidRPr="000E7BBF">
        <w:rPr>
          <w:rFonts w:ascii="Times New Roman" w:hAnsi="Times New Roman"/>
          <w:sz w:val="28"/>
          <w:szCs w:val="28"/>
        </w:rPr>
        <w:lastRenderedPageBreak/>
        <w:t>(месяц,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4"/>
          <w:pgSz w:w="11906" w:h="16838"/>
          <w:pgMar w:top="1134" w:right="567" w:bottom="1134" w:left="1418" w:header="709" w:footer="709" w:gutter="0"/>
          <w:pgNumType w:start="1"/>
          <w:cols w:space="720"/>
          <w:titlePg/>
          <w:docGrid w:linePitch="272"/>
        </w:sectPr>
      </w:pPr>
    </w:p>
    <w:p w:rsidR="000E7BBF" w:rsidRPr="000E7BBF" w:rsidRDefault="000E7BBF" w:rsidP="001B18A3">
      <w:pPr>
        <w:pStyle w:val="ConsPlusNormal"/>
        <w:spacing w:line="192" w:lineRule="auto"/>
        <w:ind w:left="9923" w:firstLine="0"/>
        <w:outlineLvl w:val="1"/>
        <w:rPr>
          <w:sz w:val="28"/>
          <w:szCs w:val="28"/>
          <w:vertAlign w:val="superscript"/>
        </w:rPr>
      </w:pPr>
      <w:r w:rsidRPr="000E7BBF">
        <w:rPr>
          <w:sz w:val="28"/>
          <w:szCs w:val="28"/>
        </w:rPr>
        <w:lastRenderedPageBreak/>
        <w:t xml:space="preserve">Приложение </w:t>
      </w:r>
      <w:r w:rsidR="001B18A3">
        <w:rPr>
          <w:sz w:val="28"/>
          <w:szCs w:val="28"/>
        </w:rPr>
        <w:t xml:space="preserve">3 </w:t>
      </w:r>
      <w:r w:rsidRPr="000E7BBF">
        <w:rPr>
          <w:sz w:val="28"/>
          <w:szCs w:val="28"/>
        </w:rPr>
        <w:t xml:space="preserve">к Положению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Сп*100/ ВРП</w:t>
            </w:r>
          </w:p>
        </w:tc>
        <w:tc>
          <w:tcPr>
            <w:tcW w:w="3288"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мероприятий ,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Пву*100% / Пок</w:t>
            </w:r>
          </w:p>
        </w:tc>
        <w:tc>
          <w:tcPr>
            <w:tcW w:w="3288" w:type="dxa"/>
          </w:tcPr>
          <w:p w:rsidR="0039201A" w:rsidRPr="0067161D" w:rsidRDefault="0039201A" w:rsidP="0039201A">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t>Пок – общее количество проведенных контрольных мероприятий  в рамках муниципального жилищного 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67161D">
              <w:rPr>
                <w:rFonts w:ascii="Times New Roman" w:hAnsi="Times New Roman"/>
              </w:rPr>
              <w:lastRenderedPageBreak/>
              <w:t>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r w:rsidRPr="0067161D">
              <w:rPr>
                <w:rFonts w:ascii="Times New Roman" w:hAnsi="Times New Roman"/>
              </w:rPr>
              <w:lastRenderedPageBreak/>
              <w:t>Пок-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Pr="0019053D" w:rsidRDefault="00A02971" w:rsidP="00156FED">
      <w:pPr>
        <w:spacing w:after="360"/>
        <w:jc w:val="center"/>
        <w:outlineLvl w:val="0"/>
        <w:rPr>
          <w:rFonts w:ascii="Times New Roman" w:hAnsi="Times New Roman"/>
          <w:b/>
          <w:sz w:val="28"/>
          <w:szCs w:val="28"/>
        </w:rPr>
      </w:pPr>
    </w:p>
    <w:p w:rsidR="00FF0383" w:rsidRPr="00AD63D7" w:rsidRDefault="00FF0383">
      <w:pPr>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D9" w:rsidRDefault="00F265D9" w:rsidP="000E7BBF">
      <w:r>
        <w:separator/>
      </w:r>
    </w:p>
  </w:endnote>
  <w:endnote w:type="continuationSeparator" w:id="0">
    <w:p w:rsidR="00F265D9" w:rsidRDefault="00F265D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D9" w:rsidRDefault="00F265D9" w:rsidP="000E7BBF">
      <w:r>
        <w:separator/>
      </w:r>
    </w:p>
  </w:footnote>
  <w:footnote w:type="continuationSeparator" w:id="0">
    <w:p w:rsidR="00F265D9" w:rsidRDefault="00F265D9"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26"/>
      <w:docPartObj>
        <w:docPartGallery w:val="Page Numbers (Top of Page)"/>
        <w:docPartUnique/>
      </w:docPartObj>
    </w:sdtPr>
    <w:sdtEndPr/>
    <w:sdtContent>
      <w:p w:rsidR="009F6E40" w:rsidRDefault="00F10AB2">
        <w:pPr>
          <w:pStyle w:val="ab"/>
          <w:jc w:val="center"/>
        </w:pPr>
        <w:r>
          <w:fldChar w:fldCharType="begin"/>
        </w:r>
        <w:r w:rsidR="009F6E40">
          <w:instrText xml:space="preserve"> PAGE   \* MERGEFORMAT </w:instrText>
        </w:r>
        <w:r>
          <w:fldChar w:fldCharType="separate"/>
        </w:r>
        <w:r w:rsidR="00E7330A">
          <w:rPr>
            <w:noProof/>
          </w:rPr>
          <w:t>28</w:t>
        </w:r>
        <w:r>
          <w:rPr>
            <w:noProof/>
          </w:rPr>
          <w:fldChar w:fldCharType="end"/>
        </w:r>
      </w:p>
    </w:sdtContent>
  </w:sdt>
  <w:p w:rsidR="009F6E40" w:rsidRDefault="009F6E4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5168B"/>
    <w:rsid w:val="00073005"/>
    <w:rsid w:val="00093445"/>
    <w:rsid w:val="000D09E5"/>
    <w:rsid w:val="000E7BBF"/>
    <w:rsid w:val="00101DA9"/>
    <w:rsid w:val="00123511"/>
    <w:rsid w:val="00156FED"/>
    <w:rsid w:val="00172994"/>
    <w:rsid w:val="001921DB"/>
    <w:rsid w:val="001B18A3"/>
    <w:rsid w:val="001B47B6"/>
    <w:rsid w:val="001D575E"/>
    <w:rsid w:val="001F4BF4"/>
    <w:rsid w:val="00241D52"/>
    <w:rsid w:val="00242BBB"/>
    <w:rsid w:val="00244E51"/>
    <w:rsid w:val="00251281"/>
    <w:rsid w:val="00262095"/>
    <w:rsid w:val="002731DC"/>
    <w:rsid w:val="00284EC2"/>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320CB"/>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7161D"/>
    <w:rsid w:val="0067760F"/>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600BA"/>
    <w:rsid w:val="008775CC"/>
    <w:rsid w:val="008C559A"/>
    <w:rsid w:val="008E79FB"/>
    <w:rsid w:val="008F42E1"/>
    <w:rsid w:val="0093398A"/>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46F8"/>
    <w:rsid w:val="00B75C5C"/>
    <w:rsid w:val="00BD1ADA"/>
    <w:rsid w:val="00C06AC1"/>
    <w:rsid w:val="00C70753"/>
    <w:rsid w:val="00C92C51"/>
    <w:rsid w:val="00CD2977"/>
    <w:rsid w:val="00CD3E8B"/>
    <w:rsid w:val="00CE7007"/>
    <w:rsid w:val="00D03202"/>
    <w:rsid w:val="00D07ED0"/>
    <w:rsid w:val="00D124F0"/>
    <w:rsid w:val="00D34222"/>
    <w:rsid w:val="00D35403"/>
    <w:rsid w:val="00D453D4"/>
    <w:rsid w:val="00D51060"/>
    <w:rsid w:val="00D51165"/>
    <w:rsid w:val="00D64DF7"/>
    <w:rsid w:val="00DC14CC"/>
    <w:rsid w:val="00DC3C44"/>
    <w:rsid w:val="00DD2152"/>
    <w:rsid w:val="00DE357E"/>
    <w:rsid w:val="00DE67CE"/>
    <w:rsid w:val="00DE739C"/>
    <w:rsid w:val="00E15E9A"/>
    <w:rsid w:val="00E414E4"/>
    <w:rsid w:val="00E47230"/>
    <w:rsid w:val="00E7330A"/>
    <w:rsid w:val="00E91CD7"/>
    <w:rsid w:val="00EA66DF"/>
    <w:rsid w:val="00EB3507"/>
    <w:rsid w:val="00EB7F3D"/>
    <w:rsid w:val="00EF79A7"/>
    <w:rsid w:val="00F0326D"/>
    <w:rsid w:val="00F10AB2"/>
    <w:rsid w:val="00F265D9"/>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B313F-2BEB-436A-AF18-8A145053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2116E6A289BF369CB39771E0A7B6931003686C37F871DEEBA89A380C87F6286CA5DA3B1271628694EE4B2C3E80C41DEA7E551067E67D8k01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23C83C17B871DEEBA89A380C87F6286CA5DA0B5211D7E3001E5EE84BC1F42D7A7E7591Ak71D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6234-1BBA-4E42-93ED-DEF799C9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11224</Words>
  <Characters>63982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dcterms:created xsi:type="dcterms:W3CDTF">2021-09-23T07:03:00Z</dcterms:created>
  <dcterms:modified xsi:type="dcterms:W3CDTF">2021-09-23T07:03:00Z</dcterms:modified>
</cp:coreProperties>
</file>